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01" w:rsidRDefault="00436201" w:rsidP="00436201">
      <w:pPr>
        <w:jc w:val="center"/>
      </w:pPr>
    </w:p>
    <w:p w:rsidR="00436201" w:rsidRDefault="00436201" w:rsidP="00436201">
      <w:pPr>
        <w:jc w:val="center"/>
      </w:pPr>
    </w:p>
    <w:p w:rsidR="00436201" w:rsidRDefault="00436201" w:rsidP="00436201">
      <w:pPr>
        <w:jc w:val="center"/>
      </w:pPr>
    </w:p>
    <w:p w:rsidR="00436201" w:rsidRDefault="00436201" w:rsidP="00436201">
      <w:pPr>
        <w:jc w:val="center"/>
      </w:pPr>
    </w:p>
    <w:p w:rsidR="00436201" w:rsidRPr="001205A6" w:rsidRDefault="00436201" w:rsidP="00436201">
      <w:pPr>
        <w:jc w:val="center"/>
      </w:pPr>
      <w:r w:rsidRPr="001205A6">
        <w:t>Lodi Rules Committee</w:t>
      </w:r>
    </w:p>
    <w:p w:rsidR="00436201" w:rsidRPr="001205A6" w:rsidRDefault="00531705" w:rsidP="00436201">
      <w:pPr>
        <w:jc w:val="center"/>
      </w:pPr>
      <w:r>
        <w:t>March</w:t>
      </w:r>
      <w:r w:rsidR="00436201">
        <w:t xml:space="preserve"> 9, 2015</w:t>
      </w:r>
    </w:p>
    <w:p w:rsidR="00436201" w:rsidRPr="001205A6" w:rsidRDefault="00436201" w:rsidP="00436201">
      <w:pPr>
        <w:jc w:val="center"/>
      </w:pPr>
    </w:p>
    <w:p w:rsidR="00436201" w:rsidRPr="001205A6" w:rsidRDefault="00436201" w:rsidP="00436201">
      <w:pPr>
        <w:jc w:val="center"/>
      </w:pPr>
    </w:p>
    <w:p w:rsidR="00436201" w:rsidRPr="001205A6" w:rsidRDefault="00436201" w:rsidP="00436201">
      <w:pPr>
        <w:jc w:val="center"/>
      </w:pPr>
      <w:smartTag w:uri="urn:schemas-microsoft-com:office:smarttags" w:element="City">
        <w:smartTag w:uri="urn:schemas-microsoft-com:office:smarttags" w:element="place">
          <w:r w:rsidRPr="001205A6">
            <w:t>Lodi</w:t>
          </w:r>
        </w:smartTag>
      </w:smartTag>
      <w:r w:rsidRPr="001205A6">
        <w:t xml:space="preserve"> Winegrape Commission, </w:t>
      </w:r>
      <w:smartTag w:uri="urn:schemas-microsoft-com:office:smarttags" w:element="address">
        <w:smartTag w:uri="urn:schemas-microsoft-com:office:smarttags" w:element="Street">
          <w:r w:rsidRPr="001205A6">
            <w:t>2545 West Turner Rd.</w:t>
          </w:r>
        </w:smartTag>
        <w:r w:rsidRPr="001205A6">
          <w:t xml:space="preserve">, </w:t>
        </w:r>
        <w:smartTag w:uri="urn:schemas-microsoft-com:office:smarttags" w:element="City">
          <w:r w:rsidRPr="001205A6">
            <w:t>Lodi</w:t>
          </w:r>
        </w:smartTag>
        <w:r w:rsidRPr="001205A6">
          <w:t xml:space="preserve">, </w:t>
        </w:r>
        <w:smartTag w:uri="urn:schemas-microsoft-com:office:smarttags" w:element="State">
          <w:r w:rsidRPr="001205A6">
            <w:t>CA</w:t>
          </w:r>
        </w:smartTag>
        <w:r w:rsidRPr="001205A6">
          <w:t xml:space="preserve">  </w:t>
        </w:r>
        <w:smartTag w:uri="urn:schemas-microsoft-com:office:smarttags" w:element="PostalCode">
          <w:r w:rsidRPr="001205A6">
            <w:t>95242</w:t>
          </w:r>
        </w:smartTag>
      </w:smartTag>
    </w:p>
    <w:p w:rsidR="00436201" w:rsidRPr="001205A6" w:rsidRDefault="00436201" w:rsidP="00436201"/>
    <w:p w:rsidR="00436201" w:rsidRPr="001205A6" w:rsidRDefault="00436201" w:rsidP="00436201">
      <w:pPr>
        <w:numPr>
          <w:ilvl w:val="0"/>
          <w:numId w:val="1"/>
        </w:numPr>
      </w:pPr>
      <w:r w:rsidRPr="001205A6">
        <w:t>Chairman Chris Storm call</w:t>
      </w:r>
      <w:r w:rsidR="00531705">
        <w:t>ed the meeting to order at 12:08</w:t>
      </w:r>
      <w:r w:rsidRPr="001205A6">
        <w:t xml:space="preserve"> PM.</w:t>
      </w:r>
    </w:p>
    <w:p w:rsidR="00436201" w:rsidRPr="001205A6" w:rsidRDefault="00436201" w:rsidP="00436201"/>
    <w:p w:rsidR="00436201" w:rsidRPr="001205A6" w:rsidRDefault="00436201" w:rsidP="00436201">
      <w:pPr>
        <w:numPr>
          <w:ilvl w:val="0"/>
          <w:numId w:val="1"/>
        </w:numPr>
      </w:pPr>
      <w:r w:rsidRPr="001205A6">
        <w:t>Roll Call :</w:t>
      </w:r>
    </w:p>
    <w:p w:rsidR="00436201" w:rsidRPr="001205A6" w:rsidRDefault="00436201" w:rsidP="00436201">
      <w:p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790"/>
        <w:gridCol w:w="1963"/>
      </w:tblGrid>
      <w:tr w:rsidR="00436201" w:rsidRPr="001205A6" w:rsidTr="00365235">
        <w:trPr>
          <w:trHeight w:val="315"/>
          <w:jc w:val="center"/>
        </w:trPr>
        <w:tc>
          <w:tcPr>
            <w:tcW w:w="1883" w:type="dxa"/>
            <w:shd w:val="clear" w:color="auto" w:fill="auto"/>
            <w:noWrap/>
            <w:hideMark/>
          </w:tcPr>
          <w:p w:rsidR="00436201" w:rsidRPr="001205A6" w:rsidRDefault="00436201" w:rsidP="00365235">
            <w:pPr>
              <w:ind w:left="720"/>
              <w:jc w:val="center"/>
              <w:rPr>
                <w:b/>
                <w:bCs/>
              </w:rPr>
            </w:pPr>
            <w:r w:rsidRPr="001205A6">
              <w:rPr>
                <w:b/>
                <w:bCs/>
              </w:rPr>
              <w:t>Attended</w:t>
            </w:r>
          </w:p>
        </w:tc>
        <w:tc>
          <w:tcPr>
            <w:tcW w:w="1670" w:type="dxa"/>
            <w:shd w:val="clear" w:color="auto" w:fill="auto"/>
            <w:noWrap/>
            <w:hideMark/>
          </w:tcPr>
          <w:p w:rsidR="00436201" w:rsidRPr="001205A6" w:rsidRDefault="00436201" w:rsidP="00365235">
            <w:pPr>
              <w:ind w:left="720"/>
              <w:jc w:val="center"/>
              <w:rPr>
                <w:b/>
                <w:bCs/>
              </w:rPr>
            </w:pPr>
            <w:r w:rsidRPr="001205A6">
              <w:rPr>
                <w:b/>
                <w:bCs/>
              </w:rPr>
              <w:t>First</w:t>
            </w:r>
          </w:p>
        </w:tc>
        <w:tc>
          <w:tcPr>
            <w:tcW w:w="1963" w:type="dxa"/>
            <w:shd w:val="clear" w:color="auto" w:fill="auto"/>
            <w:noWrap/>
            <w:hideMark/>
          </w:tcPr>
          <w:p w:rsidR="00436201" w:rsidRPr="001205A6" w:rsidRDefault="00436201" w:rsidP="00365235">
            <w:pPr>
              <w:ind w:left="720"/>
              <w:jc w:val="center"/>
              <w:rPr>
                <w:b/>
                <w:bCs/>
              </w:rPr>
            </w:pPr>
            <w:r w:rsidRPr="001205A6">
              <w:rPr>
                <w:b/>
                <w:bCs/>
              </w:rPr>
              <w:t>Last</w:t>
            </w:r>
          </w:p>
        </w:tc>
      </w:tr>
      <w:tr w:rsidR="00436201" w:rsidRPr="001205A6" w:rsidTr="00365235">
        <w:trPr>
          <w:trHeight w:val="315"/>
          <w:jc w:val="center"/>
        </w:trPr>
        <w:tc>
          <w:tcPr>
            <w:tcW w:w="1883" w:type="dxa"/>
            <w:shd w:val="clear" w:color="auto" w:fill="auto"/>
            <w:noWrap/>
            <w:hideMark/>
          </w:tcPr>
          <w:p w:rsidR="00436201" w:rsidRPr="001205A6" w:rsidRDefault="00A95E03" w:rsidP="00365235">
            <w:pPr>
              <w:ind w:left="720"/>
              <w:jc w:val="center"/>
            </w:pPr>
            <w:r>
              <w:t>x</w:t>
            </w:r>
          </w:p>
        </w:tc>
        <w:tc>
          <w:tcPr>
            <w:tcW w:w="1670" w:type="dxa"/>
            <w:shd w:val="clear" w:color="auto" w:fill="auto"/>
            <w:noWrap/>
            <w:hideMark/>
          </w:tcPr>
          <w:p w:rsidR="00436201" w:rsidRPr="001205A6" w:rsidRDefault="00436201" w:rsidP="00365235">
            <w:pPr>
              <w:ind w:left="720"/>
              <w:jc w:val="center"/>
            </w:pPr>
            <w:r w:rsidRPr="001205A6">
              <w:t>Warren</w:t>
            </w:r>
          </w:p>
        </w:tc>
        <w:tc>
          <w:tcPr>
            <w:tcW w:w="1963" w:type="dxa"/>
            <w:shd w:val="clear" w:color="auto" w:fill="auto"/>
            <w:noWrap/>
            <w:hideMark/>
          </w:tcPr>
          <w:p w:rsidR="00436201" w:rsidRPr="001205A6" w:rsidRDefault="00436201" w:rsidP="00365235">
            <w:pPr>
              <w:ind w:left="720"/>
              <w:jc w:val="center"/>
            </w:pPr>
            <w:r w:rsidRPr="001205A6">
              <w:t>Bogle</w:t>
            </w:r>
          </w:p>
        </w:tc>
      </w:tr>
      <w:tr w:rsidR="00436201" w:rsidRPr="001205A6" w:rsidTr="00365235">
        <w:trPr>
          <w:trHeight w:val="315"/>
          <w:jc w:val="center"/>
        </w:trPr>
        <w:tc>
          <w:tcPr>
            <w:tcW w:w="1883" w:type="dxa"/>
            <w:shd w:val="clear" w:color="auto" w:fill="auto"/>
            <w:noWrap/>
            <w:hideMark/>
          </w:tcPr>
          <w:p w:rsidR="00436201" w:rsidRPr="001205A6" w:rsidRDefault="00436201" w:rsidP="00365235">
            <w:pPr>
              <w:ind w:left="720"/>
              <w:jc w:val="center"/>
            </w:pPr>
            <w:r>
              <w:t>x</w:t>
            </w:r>
          </w:p>
        </w:tc>
        <w:tc>
          <w:tcPr>
            <w:tcW w:w="1670" w:type="dxa"/>
            <w:shd w:val="clear" w:color="auto" w:fill="auto"/>
            <w:noWrap/>
            <w:hideMark/>
          </w:tcPr>
          <w:p w:rsidR="00436201" w:rsidRPr="001205A6" w:rsidRDefault="00436201" w:rsidP="00365235">
            <w:pPr>
              <w:ind w:left="720"/>
              <w:jc w:val="center"/>
            </w:pPr>
            <w:r w:rsidRPr="001205A6">
              <w:t>Lee</w:t>
            </w:r>
          </w:p>
        </w:tc>
        <w:tc>
          <w:tcPr>
            <w:tcW w:w="1963" w:type="dxa"/>
            <w:shd w:val="clear" w:color="auto" w:fill="auto"/>
            <w:noWrap/>
            <w:hideMark/>
          </w:tcPr>
          <w:p w:rsidR="00436201" w:rsidRPr="001205A6" w:rsidRDefault="00436201" w:rsidP="00365235">
            <w:pPr>
              <w:ind w:left="720"/>
              <w:jc w:val="center"/>
            </w:pPr>
            <w:r w:rsidRPr="001205A6">
              <w:t>Caton</w:t>
            </w:r>
          </w:p>
        </w:tc>
      </w:tr>
      <w:tr w:rsidR="00436201" w:rsidRPr="001205A6" w:rsidTr="00365235">
        <w:trPr>
          <w:trHeight w:val="315"/>
          <w:jc w:val="center"/>
        </w:trPr>
        <w:tc>
          <w:tcPr>
            <w:tcW w:w="1883" w:type="dxa"/>
            <w:shd w:val="clear" w:color="auto" w:fill="auto"/>
            <w:noWrap/>
            <w:hideMark/>
          </w:tcPr>
          <w:p w:rsidR="00436201" w:rsidRPr="001205A6" w:rsidRDefault="00436201" w:rsidP="00365235">
            <w:pPr>
              <w:ind w:left="720"/>
              <w:jc w:val="center"/>
            </w:pPr>
            <w:r w:rsidRPr="001205A6">
              <w:t>x</w:t>
            </w:r>
          </w:p>
        </w:tc>
        <w:tc>
          <w:tcPr>
            <w:tcW w:w="1670" w:type="dxa"/>
            <w:shd w:val="clear" w:color="auto" w:fill="auto"/>
            <w:noWrap/>
            <w:hideMark/>
          </w:tcPr>
          <w:p w:rsidR="00436201" w:rsidRPr="001205A6" w:rsidRDefault="00436201" w:rsidP="00365235">
            <w:pPr>
              <w:ind w:left="720"/>
              <w:jc w:val="center"/>
            </w:pPr>
            <w:r w:rsidRPr="001205A6">
              <w:t>Bruce</w:t>
            </w:r>
          </w:p>
        </w:tc>
        <w:tc>
          <w:tcPr>
            <w:tcW w:w="1963" w:type="dxa"/>
            <w:shd w:val="clear" w:color="auto" w:fill="auto"/>
            <w:noWrap/>
            <w:hideMark/>
          </w:tcPr>
          <w:p w:rsidR="00436201" w:rsidRPr="001205A6" w:rsidRDefault="00436201" w:rsidP="00365235">
            <w:pPr>
              <w:ind w:left="720"/>
              <w:jc w:val="center"/>
            </w:pPr>
            <w:r w:rsidRPr="001205A6">
              <w:t>Fry</w:t>
            </w:r>
          </w:p>
        </w:tc>
      </w:tr>
      <w:tr w:rsidR="00436201" w:rsidRPr="001205A6" w:rsidTr="00365235">
        <w:trPr>
          <w:trHeight w:val="315"/>
          <w:jc w:val="center"/>
        </w:trPr>
        <w:tc>
          <w:tcPr>
            <w:tcW w:w="1883" w:type="dxa"/>
            <w:shd w:val="clear" w:color="auto" w:fill="auto"/>
            <w:noWrap/>
            <w:hideMark/>
          </w:tcPr>
          <w:p w:rsidR="00436201" w:rsidRPr="001205A6" w:rsidRDefault="00436201" w:rsidP="00365235">
            <w:pPr>
              <w:ind w:left="720"/>
              <w:jc w:val="center"/>
            </w:pPr>
          </w:p>
        </w:tc>
        <w:tc>
          <w:tcPr>
            <w:tcW w:w="1670" w:type="dxa"/>
            <w:shd w:val="clear" w:color="auto" w:fill="auto"/>
            <w:noWrap/>
            <w:hideMark/>
          </w:tcPr>
          <w:p w:rsidR="00436201" w:rsidRPr="001205A6" w:rsidRDefault="00436201" w:rsidP="00365235">
            <w:pPr>
              <w:ind w:left="720"/>
              <w:jc w:val="center"/>
            </w:pPr>
            <w:r w:rsidRPr="001205A6">
              <w:t>Stan</w:t>
            </w:r>
          </w:p>
        </w:tc>
        <w:tc>
          <w:tcPr>
            <w:tcW w:w="1963" w:type="dxa"/>
            <w:shd w:val="clear" w:color="auto" w:fill="auto"/>
            <w:noWrap/>
            <w:hideMark/>
          </w:tcPr>
          <w:p w:rsidR="00436201" w:rsidRPr="001205A6" w:rsidRDefault="00436201" w:rsidP="00365235">
            <w:pPr>
              <w:ind w:left="720"/>
              <w:jc w:val="center"/>
            </w:pPr>
            <w:r w:rsidRPr="001205A6">
              <w:t>Grant</w:t>
            </w:r>
          </w:p>
        </w:tc>
      </w:tr>
      <w:tr w:rsidR="00436201" w:rsidRPr="001205A6" w:rsidTr="00365235">
        <w:trPr>
          <w:trHeight w:val="315"/>
          <w:jc w:val="center"/>
        </w:trPr>
        <w:tc>
          <w:tcPr>
            <w:tcW w:w="1883" w:type="dxa"/>
            <w:shd w:val="clear" w:color="auto" w:fill="auto"/>
            <w:noWrap/>
            <w:hideMark/>
          </w:tcPr>
          <w:p w:rsidR="00436201" w:rsidRPr="001205A6" w:rsidRDefault="00436201" w:rsidP="00365235">
            <w:pPr>
              <w:ind w:left="720"/>
              <w:jc w:val="center"/>
            </w:pPr>
            <w:r w:rsidRPr="001205A6">
              <w:t>x</w:t>
            </w:r>
          </w:p>
        </w:tc>
        <w:tc>
          <w:tcPr>
            <w:tcW w:w="1670" w:type="dxa"/>
            <w:shd w:val="clear" w:color="auto" w:fill="auto"/>
            <w:noWrap/>
            <w:hideMark/>
          </w:tcPr>
          <w:p w:rsidR="00436201" w:rsidRPr="001205A6" w:rsidRDefault="00436201" w:rsidP="00365235">
            <w:pPr>
              <w:ind w:left="720"/>
              <w:jc w:val="center"/>
            </w:pPr>
            <w:r w:rsidRPr="001205A6">
              <w:t>Stanton</w:t>
            </w:r>
          </w:p>
        </w:tc>
        <w:tc>
          <w:tcPr>
            <w:tcW w:w="1963" w:type="dxa"/>
            <w:shd w:val="clear" w:color="auto" w:fill="auto"/>
            <w:noWrap/>
            <w:hideMark/>
          </w:tcPr>
          <w:p w:rsidR="00436201" w:rsidRPr="001205A6" w:rsidRDefault="00436201" w:rsidP="00365235">
            <w:pPr>
              <w:ind w:left="720"/>
              <w:jc w:val="center"/>
            </w:pPr>
            <w:r w:rsidRPr="001205A6">
              <w:t>Lange</w:t>
            </w:r>
          </w:p>
        </w:tc>
      </w:tr>
      <w:tr w:rsidR="00436201" w:rsidRPr="001205A6" w:rsidTr="00365235">
        <w:trPr>
          <w:trHeight w:val="315"/>
          <w:jc w:val="center"/>
        </w:trPr>
        <w:tc>
          <w:tcPr>
            <w:tcW w:w="1883" w:type="dxa"/>
            <w:shd w:val="clear" w:color="auto" w:fill="auto"/>
            <w:noWrap/>
            <w:hideMark/>
          </w:tcPr>
          <w:p w:rsidR="00436201" w:rsidRPr="001205A6" w:rsidRDefault="00436201" w:rsidP="00365235">
            <w:pPr>
              <w:ind w:left="720"/>
              <w:jc w:val="center"/>
            </w:pPr>
          </w:p>
        </w:tc>
        <w:tc>
          <w:tcPr>
            <w:tcW w:w="1670" w:type="dxa"/>
            <w:shd w:val="clear" w:color="auto" w:fill="auto"/>
            <w:noWrap/>
            <w:hideMark/>
          </w:tcPr>
          <w:p w:rsidR="00436201" w:rsidRPr="001205A6" w:rsidRDefault="00436201" w:rsidP="00365235">
            <w:pPr>
              <w:ind w:left="720"/>
              <w:jc w:val="center"/>
            </w:pPr>
            <w:r w:rsidRPr="001205A6">
              <w:t>Kevin</w:t>
            </w:r>
          </w:p>
        </w:tc>
        <w:tc>
          <w:tcPr>
            <w:tcW w:w="1963" w:type="dxa"/>
            <w:shd w:val="clear" w:color="auto" w:fill="auto"/>
            <w:noWrap/>
            <w:hideMark/>
          </w:tcPr>
          <w:p w:rsidR="00436201" w:rsidRPr="001205A6" w:rsidRDefault="00436201" w:rsidP="00365235">
            <w:pPr>
              <w:ind w:left="720"/>
              <w:jc w:val="center"/>
            </w:pPr>
            <w:r w:rsidRPr="001205A6">
              <w:t>Phillips</w:t>
            </w:r>
          </w:p>
        </w:tc>
      </w:tr>
      <w:tr w:rsidR="00436201" w:rsidRPr="001205A6" w:rsidTr="00365235">
        <w:trPr>
          <w:trHeight w:val="315"/>
          <w:jc w:val="center"/>
        </w:trPr>
        <w:tc>
          <w:tcPr>
            <w:tcW w:w="1883" w:type="dxa"/>
            <w:shd w:val="clear" w:color="auto" w:fill="auto"/>
            <w:noWrap/>
            <w:hideMark/>
          </w:tcPr>
          <w:p w:rsidR="00436201" w:rsidRPr="001205A6" w:rsidRDefault="00531705" w:rsidP="00365235">
            <w:pPr>
              <w:ind w:left="720"/>
              <w:jc w:val="center"/>
            </w:pPr>
            <w:r>
              <w:t>x</w:t>
            </w:r>
          </w:p>
        </w:tc>
        <w:tc>
          <w:tcPr>
            <w:tcW w:w="1670" w:type="dxa"/>
            <w:shd w:val="clear" w:color="auto" w:fill="auto"/>
            <w:noWrap/>
            <w:hideMark/>
          </w:tcPr>
          <w:p w:rsidR="00436201" w:rsidRPr="001205A6" w:rsidRDefault="00436201" w:rsidP="00365235">
            <w:pPr>
              <w:ind w:left="720"/>
              <w:jc w:val="center"/>
            </w:pPr>
            <w:r w:rsidRPr="001205A6">
              <w:t>Steve</w:t>
            </w:r>
          </w:p>
        </w:tc>
        <w:tc>
          <w:tcPr>
            <w:tcW w:w="1963" w:type="dxa"/>
            <w:shd w:val="clear" w:color="auto" w:fill="auto"/>
            <w:noWrap/>
            <w:hideMark/>
          </w:tcPr>
          <w:p w:rsidR="00436201" w:rsidRPr="001205A6" w:rsidRDefault="00436201" w:rsidP="00365235">
            <w:pPr>
              <w:ind w:left="720"/>
              <w:jc w:val="center"/>
            </w:pPr>
            <w:r w:rsidRPr="001205A6">
              <w:t>Quashnick</w:t>
            </w:r>
          </w:p>
        </w:tc>
      </w:tr>
      <w:tr w:rsidR="00436201" w:rsidRPr="001205A6" w:rsidTr="00365235">
        <w:trPr>
          <w:trHeight w:val="315"/>
          <w:jc w:val="center"/>
        </w:trPr>
        <w:tc>
          <w:tcPr>
            <w:tcW w:w="1883" w:type="dxa"/>
            <w:shd w:val="clear" w:color="auto" w:fill="auto"/>
            <w:noWrap/>
            <w:hideMark/>
          </w:tcPr>
          <w:p w:rsidR="00436201" w:rsidRPr="001205A6" w:rsidRDefault="00531705" w:rsidP="00365235">
            <w:pPr>
              <w:ind w:left="720"/>
              <w:jc w:val="center"/>
            </w:pPr>
            <w:r>
              <w:t>x</w:t>
            </w:r>
          </w:p>
        </w:tc>
        <w:tc>
          <w:tcPr>
            <w:tcW w:w="1670" w:type="dxa"/>
            <w:shd w:val="clear" w:color="auto" w:fill="auto"/>
            <w:noWrap/>
            <w:hideMark/>
          </w:tcPr>
          <w:p w:rsidR="00436201" w:rsidRPr="001205A6" w:rsidRDefault="00436201" w:rsidP="00365235">
            <w:pPr>
              <w:ind w:left="720"/>
              <w:jc w:val="center"/>
            </w:pPr>
            <w:r w:rsidRPr="001205A6">
              <w:t>Chris</w:t>
            </w:r>
          </w:p>
        </w:tc>
        <w:tc>
          <w:tcPr>
            <w:tcW w:w="1963" w:type="dxa"/>
            <w:shd w:val="clear" w:color="auto" w:fill="auto"/>
            <w:noWrap/>
            <w:hideMark/>
          </w:tcPr>
          <w:p w:rsidR="00436201" w:rsidRPr="001205A6" w:rsidRDefault="00436201" w:rsidP="00365235">
            <w:pPr>
              <w:ind w:left="720"/>
              <w:jc w:val="center"/>
            </w:pPr>
            <w:r w:rsidRPr="001205A6">
              <w:t>Storm</w:t>
            </w:r>
          </w:p>
        </w:tc>
      </w:tr>
      <w:tr w:rsidR="00531705" w:rsidRPr="001205A6" w:rsidTr="00365235">
        <w:trPr>
          <w:trHeight w:val="315"/>
          <w:jc w:val="center"/>
        </w:trPr>
        <w:tc>
          <w:tcPr>
            <w:tcW w:w="1883" w:type="dxa"/>
            <w:shd w:val="clear" w:color="auto" w:fill="auto"/>
            <w:noWrap/>
          </w:tcPr>
          <w:p w:rsidR="00531705" w:rsidRPr="001205A6" w:rsidRDefault="00531705" w:rsidP="00365235">
            <w:pPr>
              <w:ind w:left="720"/>
              <w:jc w:val="center"/>
            </w:pPr>
            <w:r>
              <w:t>x</w:t>
            </w:r>
          </w:p>
        </w:tc>
        <w:tc>
          <w:tcPr>
            <w:tcW w:w="1670" w:type="dxa"/>
            <w:shd w:val="clear" w:color="auto" w:fill="auto"/>
            <w:noWrap/>
          </w:tcPr>
          <w:p w:rsidR="00531705" w:rsidRDefault="00531705" w:rsidP="00531705">
            <w:pPr>
              <w:ind w:left="720"/>
              <w:jc w:val="center"/>
            </w:pPr>
            <w:r>
              <w:t xml:space="preserve">Aaron </w:t>
            </w:r>
          </w:p>
        </w:tc>
        <w:tc>
          <w:tcPr>
            <w:tcW w:w="1963" w:type="dxa"/>
            <w:shd w:val="clear" w:color="auto" w:fill="auto"/>
            <w:noWrap/>
          </w:tcPr>
          <w:p w:rsidR="00531705" w:rsidRDefault="00531705" w:rsidP="00365235">
            <w:pPr>
              <w:ind w:left="720"/>
              <w:jc w:val="center"/>
            </w:pPr>
            <w:r>
              <w:t>Shinn</w:t>
            </w:r>
          </w:p>
        </w:tc>
      </w:tr>
      <w:tr w:rsidR="00436201" w:rsidRPr="001205A6" w:rsidTr="00365235">
        <w:trPr>
          <w:trHeight w:val="315"/>
          <w:jc w:val="center"/>
        </w:trPr>
        <w:tc>
          <w:tcPr>
            <w:tcW w:w="1883" w:type="dxa"/>
            <w:shd w:val="clear" w:color="auto" w:fill="auto"/>
            <w:noWrap/>
          </w:tcPr>
          <w:p w:rsidR="00436201" w:rsidRPr="001205A6" w:rsidRDefault="00531705" w:rsidP="00365235">
            <w:pPr>
              <w:ind w:left="720"/>
              <w:jc w:val="center"/>
            </w:pPr>
            <w:r>
              <w:t>x</w:t>
            </w:r>
          </w:p>
        </w:tc>
        <w:tc>
          <w:tcPr>
            <w:tcW w:w="1670" w:type="dxa"/>
            <w:shd w:val="clear" w:color="auto" w:fill="auto"/>
            <w:noWrap/>
          </w:tcPr>
          <w:p w:rsidR="00436201" w:rsidRPr="001205A6" w:rsidRDefault="00531705" w:rsidP="00365235">
            <w:pPr>
              <w:ind w:left="720"/>
              <w:jc w:val="center"/>
            </w:pPr>
            <w:r>
              <w:t>Madelyn</w:t>
            </w:r>
          </w:p>
        </w:tc>
        <w:tc>
          <w:tcPr>
            <w:tcW w:w="1963" w:type="dxa"/>
            <w:shd w:val="clear" w:color="auto" w:fill="auto"/>
            <w:noWrap/>
          </w:tcPr>
          <w:p w:rsidR="00436201" w:rsidRPr="001205A6" w:rsidRDefault="00531705" w:rsidP="00365235">
            <w:pPr>
              <w:ind w:left="720"/>
              <w:jc w:val="center"/>
            </w:pPr>
            <w:r>
              <w:t>Kolber</w:t>
            </w:r>
          </w:p>
        </w:tc>
      </w:tr>
    </w:tbl>
    <w:p w:rsidR="00436201" w:rsidRPr="001205A6" w:rsidRDefault="00436201" w:rsidP="00436201">
      <w:pPr>
        <w:ind w:left="720"/>
      </w:pPr>
    </w:p>
    <w:p w:rsidR="00436201" w:rsidRPr="001205A6" w:rsidRDefault="00436201" w:rsidP="00436201">
      <w:pPr>
        <w:ind w:left="720"/>
      </w:pPr>
      <w:r w:rsidRPr="001205A6">
        <w:t>Others present – Matthew Hoffman, Stuart Spencer</w:t>
      </w:r>
      <w:r w:rsidR="00531705">
        <w:t>, Camron King</w:t>
      </w:r>
    </w:p>
    <w:p w:rsidR="00436201" w:rsidRPr="001205A6" w:rsidRDefault="00436201" w:rsidP="00436201"/>
    <w:p w:rsidR="00436201" w:rsidRPr="001205A6" w:rsidRDefault="00436201" w:rsidP="00436201">
      <w:pPr>
        <w:numPr>
          <w:ilvl w:val="0"/>
          <w:numId w:val="1"/>
        </w:numPr>
      </w:pPr>
      <w:r w:rsidRPr="001205A6">
        <w:t xml:space="preserve">Minutes of the </w:t>
      </w:r>
      <w:r w:rsidR="00884826">
        <w:t>February 9, 2015</w:t>
      </w:r>
      <w:r w:rsidRPr="001205A6">
        <w:t xml:space="preserve"> meeting were approved</w:t>
      </w:r>
      <w:r w:rsidR="00A95E03">
        <w:t xml:space="preserve"> with amendments recommended by </w:t>
      </w:r>
      <w:r w:rsidR="00884826">
        <w:t>Madelyn Kolber</w:t>
      </w:r>
      <w:r w:rsidRPr="001205A6">
        <w:t xml:space="preserve">. </w:t>
      </w:r>
      <w:r w:rsidR="00884826">
        <w:t>Steve Quashnick</w:t>
      </w:r>
      <w:r w:rsidRPr="001205A6">
        <w:t xml:space="preserve">, </w:t>
      </w:r>
      <w:r w:rsidR="00884826">
        <w:t xml:space="preserve">Bruce Fry </w:t>
      </w:r>
      <w:r w:rsidRPr="001205A6">
        <w:t>– Carried.</w:t>
      </w:r>
    </w:p>
    <w:p w:rsidR="00436201" w:rsidRPr="001205A6" w:rsidRDefault="00436201" w:rsidP="00436201"/>
    <w:p w:rsidR="00436201" w:rsidRPr="00F56138" w:rsidRDefault="00436201" w:rsidP="0068332F"/>
    <w:p w:rsidR="00971F7A" w:rsidRDefault="00171065" w:rsidP="00971F7A">
      <w:pPr>
        <w:numPr>
          <w:ilvl w:val="0"/>
          <w:numId w:val="1"/>
        </w:numPr>
      </w:pPr>
      <w:r>
        <w:t>Ne</w:t>
      </w:r>
      <w:r w:rsidR="000A04D3">
        <w:t xml:space="preserve">w grower orientation meetings: </w:t>
      </w:r>
      <w:r>
        <w:t xml:space="preserve">Matthew </w:t>
      </w:r>
      <w:r w:rsidR="0068332F">
        <w:t xml:space="preserve">gave a report on the Lodi new grower orientation meeting, which nine individuals attended. Assuming all acreage applied for certification passes the audit, the total </w:t>
      </w:r>
      <w:r w:rsidR="00BB1C53">
        <w:t>acreage</w:t>
      </w:r>
      <w:r w:rsidR="0068332F">
        <w:t xml:space="preserve"> certified in 2015 will </w:t>
      </w:r>
      <w:r w:rsidR="00BB1C53">
        <w:t xml:space="preserve">be greater than in 2014. </w:t>
      </w:r>
      <w:r w:rsidR="0068332F">
        <w:t xml:space="preserve">  </w:t>
      </w:r>
    </w:p>
    <w:p w:rsidR="00436201" w:rsidRDefault="00436201" w:rsidP="00614A19">
      <w:bookmarkStart w:id="0" w:name="_GoBack"/>
      <w:bookmarkEnd w:id="0"/>
    </w:p>
    <w:p w:rsidR="00614A19" w:rsidRDefault="00614A19" w:rsidP="00614A19">
      <w:pPr>
        <w:numPr>
          <w:ilvl w:val="0"/>
          <w:numId w:val="1"/>
        </w:numPr>
      </w:pPr>
      <w:r w:rsidRPr="00F56138">
        <w:t>Sustainabili</w:t>
      </w:r>
      <w:r>
        <w:t xml:space="preserve">ty Report: Matthew presented the most recent report produced by the Commission’s graphic designer. The committee was pleased with the word and offered several small editorial suggestions. Bruce asked for the item of Lodi Rules growers adopt 25% more practices be removed because it can be interpreted in several ways. Ware suggested we change the reference of $50 per ton bonus to not include an exact dollar amount because not all wineries offering bonuses pay exactly $50. A careful edit of the document needs to be done because the </w:t>
      </w:r>
      <w:r>
        <w:lastRenderedPageBreak/>
        <w:t xml:space="preserve">committee found typos, inconsistencies, and other issues with the document. Commission staff will comb through the report and correct errors.    </w:t>
      </w:r>
    </w:p>
    <w:p w:rsidR="00614A19" w:rsidRDefault="00614A19" w:rsidP="00614A19">
      <w:pPr>
        <w:ind w:left="720"/>
      </w:pPr>
    </w:p>
    <w:p w:rsidR="00436201" w:rsidRDefault="00BB1C53" w:rsidP="00436201">
      <w:pPr>
        <w:numPr>
          <w:ilvl w:val="0"/>
          <w:numId w:val="1"/>
        </w:numPr>
      </w:pPr>
      <w:r>
        <w:t>Trademark</w:t>
      </w:r>
      <w:r w:rsidR="00436201" w:rsidRPr="001205A6">
        <w:t xml:space="preserve"> </w:t>
      </w:r>
      <w:r w:rsidR="006920D5">
        <w:t xml:space="preserve">license agreement: Matthew </w:t>
      </w:r>
      <w:r w:rsidR="00F27F1C">
        <w:t xml:space="preserve">and Camron gave the committee a draft of the trademark license agreement along with the cover letter explaining the agreement in lay terms. The committee was in agreement that the agreement accomplishes the intended function. </w:t>
      </w:r>
      <w:r w:rsidR="006920D5">
        <w:t xml:space="preserve"> </w:t>
      </w:r>
      <w:r w:rsidR="00971F7A">
        <w:t xml:space="preserve">Warren asked that it be clear indication of what an audit would cost and who pays for it in the case of an audit. </w:t>
      </w:r>
    </w:p>
    <w:p w:rsidR="00347829" w:rsidRDefault="00347829" w:rsidP="00347829">
      <w:pPr>
        <w:ind w:left="720"/>
      </w:pPr>
    </w:p>
    <w:p w:rsidR="00347829" w:rsidRDefault="00347829" w:rsidP="00347829">
      <w:pPr>
        <w:numPr>
          <w:ilvl w:val="0"/>
          <w:numId w:val="1"/>
        </w:numPr>
      </w:pPr>
      <w:r>
        <w:t xml:space="preserve">Bottling report: Matthew gave the committee a print version of the on-line bottling report.   </w:t>
      </w:r>
    </w:p>
    <w:p w:rsidR="00347829" w:rsidRDefault="00347829" w:rsidP="00347829">
      <w:pPr>
        <w:ind w:left="720"/>
      </w:pPr>
    </w:p>
    <w:p w:rsidR="00347829" w:rsidRDefault="00347829" w:rsidP="00347829">
      <w:pPr>
        <w:numPr>
          <w:ilvl w:val="0"/>
          <w:numId w:val="1"/>
        </w:numPr>
      </w:pPr>
      <w:r>
        <w:t>Timeline for upcoming committee projects: A timeline for achieving ongoing projects was suggested by Chris Storm and Matthew Hoffman.</w:t>
      </w:r>
    </w:p>
    <w:p w:rsidR="00347829" w:rsidRDefault="00347829" w:rsidP="00347829">
      <w:pPr>
        <w:numPr>
          <w:ilvl w:val="1"/>
          <w:numId w:val="5"/>
        </w:numPr>
      </w:pPr>
      <w:r>
        <w:t>March 19 LWC board meeting: Two new LR committee members’ announced to board.</w:t>
      </w:r>
    </w:p>
    <w:p w:rsidR="00347829" w:rsidRDefault="00347829" w:rsidP="00347829">
      <w:pPr>
        <w:numPr>
          <w:ilvl w:val="1"/>
          <w:numId w:val="5"/>
        </w:numPr>
      </w:pPr>
      <w:r>
        <w:t xml:space="preserve">April 7 LR committee meeting: </w:t>
      </w:r>
    </w:p>
    <w:p w:rsidR="00347829" w:rsidRDefault="00347829" w:rsidP="00347829">
      <w:pPr>
        <w:numPr>
          <w:ilvl w:val="2"/>
          <w:numId w:val="5"/>
        </w:numPr>
      </w:pPr>
      <w:r>
        <w:t>Final review of the following.</w:t>
      </w:r>
    </w:p>
    <w:p w:rsidR="00347829" w:rsidRDefault="00347829" w:rsidP="00347829">
      <w:pPr>
        <w:numPr>
          <w:ilvl w:val="3"/>
          <w:numId w:val="5"/>
        </w:numPr>
      </w:pPr>
      <w:r>
        <w:t>Trademarked license agreement</w:t>
      </w:r>
    </w:p>
    <w:p w:rsidR="00347829" w:rsidRDefault="00347829" w:rsidP="00347829">
      <w:pPr>
        <w:numPr>
          <w:ilvl w:val="3"/>
          <w:numId w:val="5"/>
        </w:numPr>
      </w:pPr>
      <w:r>
        <w:t>Letter to wineries</w:t>
      </w:r>
    </w:p>
    <w:p w:rsidR="00347829" w:rsidRDefault="00347829" w:rsidP="00347829">
      <w:pPr>
        <w:numPr>
          <w:ilvl w:val="3"/>
          <w:numId w:val="5"/>
        </w:numPr>
      </w:pPr>
      <w:r>
        <w:t>Branding guidelines</w:t>
      </w:r>
    </w:p>
    <w:p w:rsidR="00347829" w:rsidRDefault="00347829" w:rsidP="00347829">
      <w:pPr>
        <w:numPr>
          <w:ilvl w:val="3"/>
          <w:numId w:val="5"/>
        </w:numPr>
      </w:pPr>
      <w:r>
        <w:t>Sustainability report</w:t>
      </w:r>
    </w:p>
    <w:p w:rsidR="00347829" w:rsidRDefault="00347829" w:rsidP="00347829">
      <w:pPr>
        <w:numPr>
          <w:ilvl w:val="3"/>
          <w:numId w:val="5"/>
        </w:numPr>
      </w:pPr>
      <w:r>
        <w:t>Bottling report</w:t>
      </w:r>
    </w:p>
    <w:p w:rsidR="00347829" w:rsidRDefault="00347829" w:rsidP="00347829">
      <w:pPr>
        <w:numPr>
          <w:ilvl w:val="2"/>
          <w:numId w:val="5"/>
        </w:numPr>
      </w:pPr>
      <w:r>
        <w:t>Presentation to board</w:t>
      </w:r>
    </w:p>
    <w:p w:rsidR="00347829" w:rsidRDefault="00347829" w:rsidP="00347829">
      <w:pPr>
        <w:numPr>
          <w:ilvl w:val="3"/>
          <w:numId w:val="5"/>
        </w:numPr>
      </w:pPr>
      <w:r>
        <w:t>Recent successes</w:t>
      </w:r>
    </w:p>
    <w:p w:rsidR="00347829" w:rsidRDefault="00347829" w:rsidP="00347829">
      <w:pPr>
        <w:numPr>
          <w:ilvl w:val="3"/>
          <w:numId w:val="5"/>
        </w:numPr>
      </w:pPr>
      <w:r>
        <w:t>Media coverage</w:t>
      </w:r>
    </w:p>
    <w:p w:rsidR="00347829" w:rsidRDefault="00347829" w:rsidP="00347829">
      <w:pPr>
        <w:numPr>
          <w:ilvl w:val="3"/>
          <w:numId w:val="5"/>
        </w:numPr>
      </w:pPr>
      <w:r>
        <w:t>Program growth</w:t>
      </w:r>
    </w:p>
    <w:p w:rsidR="00347829" w:rsidRDefault="00347829" w:rsidP="00347829">
      <w:pPr>
        <w:numPr>
          <w:ilvl w:val="4"/>
          <w:numId w:val="5"/>
        </w:numPr>
      </w:pPr>
      <w:r>
        <w:t>Acreage</w:t>
      </w:r>
    </w:p>
    <w:p w:rsidR="00347829" w:rsidRDefault="00347829" w:rsidP="00347829">
      <w:pPr>
        <w:numPr>
          <w:ilvl w:val="4"/>
          <w:numId w:val="5"/>
        </w:numPr>
      </w:pPr>
      <w:r>
        <w:t>Wineries</w:t>
      </w:r>
    </w:p>
    <w:p w:rsidR="00347829" w:rsidRDefault="00347829" w:rsidP="00347829">
      <w:pPr>
        <w:numPr>
          <w:ilvl w:val="4"/>
          <w:numId w:val="5"/>
        </w:numPr>
      </w:pPr>
      <w:r>
        <w:t>Out of district revenue</w:t>
      </w:r>
    </w:p>
    <w:p w:rsidR="00347829" w:rsidRDefault="00347829" w:rsidP="00347829">
      <w:pPr>
        <w:numPr>
          <w:ilvl w:val="3"/>
          <w:numId w:val="5"/>
        </w:numPr>
      </w:pPr>
      <w:r>
        <w:t>Navigating today’s certification landscape</w:t>
      </w:r>
    </w:p>
    <w:p w:rsidR="00347829" w:rsidRDefault="00347829" w:rsidP="00347829">
      <w:pPr>
        <w:numPr>
          <w:ilvl w:val="4"/>
          <w:numId w:val="5"/>
        </w:numPr>
      </w:pPr>
      <w:r>
        <w:t>Competition from other certification programs</w:t>
      </w:r>
    </w:p>
    <w:p w:rsidR="00347829" w:rsidRDefault="00347829" w:rsidP="00347829">
      <w:pPr>
        <w:numPr>
          <w:ilvl w:val="4"/>
          <w:numId w:val="5"/>
        </w:numPr>
      </w:pPr>
      <w:r>
        <w:t>Recruiting winery interest in using the seal</w:t>
      </w:r>
    </w:p>
    <w:p w:rsidR="00347829" w:rsidRDefault="00347829" w:rsidP="00347829">
      <w:pPr>
        <w:numPr>
          <w:ilvl w:val="4"/>
          <w:numId w:val="5"/>
        </w:numPr>
      </w:pPr>
      <w:r>
        <w:t>Trickledown of retailer sustainability metrics</w:t>
      </w:r>
    </w:p>
    <w:p w:rsidR="00347829" w:rsidRDefault="00347829" w:rsidP="00347829">
      <w:pPr>
        <w:numPr>
          <w:ilvl w:val="4"/>
          <w:numId w:val="5"/>
        </w:numPr>
      </w:pPr>
      <w:r>
        <w:t xml:space="preserve">Adding value to certification </w:t>
      </w:r>
    </w:p>
    <w:p w:rsidR="00347829" w:rsidRDefault="00347829" w:rsidP="00347829">
      <w:pPr>
        <w:numPr>
          <w:ilvl w:val="1"/>
          <w:numId w:val="5"/>
        </w:numPr>
      </w:pPr>
      <w:r>
        <w:t>April 16 LWC board meeting: Give board an overview of the LR’s recent accomplishments and propose a plan forward that has the best interested of the program and the Lodi region in mind.</w:t>
      </w:r>
    </w:p>
    <w:p w:rsidR="00436201" w:rsidRDefault="00436201" w:rsidP="00436201"/>
    <w:p w:rsidR="00436201" w:rsidRPr="001205A6" w:rsidRDefault="00436201" w:rsidP="00436201">
      <w:pPr>
        <w:numPr>
          <w:ilvl w:val="0"/>
          <w:numId w:val="1"/>
        </w:numPr>
      </w:pPr>
      <w:r w:rsidRPr="001205A6">
        <w:t xml:space="preserve">Next meeting set for </w:t>
      </w:r>
      <w:r w:rsidR="00BB1C53">
        <w:t>April 7</w:t>
      </w:r>
      <w:r>
        <w:t>, 2015</w:t>
      </w:r>
      <w:r w:rsidRPr="001205A6">
        <w:t>, 12:00 PM at the Lodi Winegrape Commission office.</w:t>
      </w:r>
    </w:p>
    <w:p w:rsidR="00436201" w:rsidRPr="001205A6" w:rsidRDefault="00436201" w:rsidP="00436201"/>
    <w:p w:rsidR="00436201" w:rsidRPr="001205A6" w:rsidRDefault="00436201" w:rsidP="00436201">
      <w:pPr>
        <w:numPr>
          <w:ilvl w:val="0"/>
          <w:numId w:val="1"/>
        </w:numPr>
      </w:pPr>
      <w:r w:rsidRPr="001205A6">
        <w:t>Meeting adjourned 2:00 PM.</w:t>
      </w:r>
    </w:p>
    <w:p w:rsidR="0040305A" w:rsidRDefault="0040305A"/>
    <w:sectPr w:rsidR="0040305A" w:rsidSect="00F20323">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5658"/>
    <w:multiLevelType w:val="hybridMultilevel"/>
    <w:tmpl w:val="7658A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ED53A31"/>
    <w:multiLevelType w:val="hybridMultilevel"/>
    <w:tmpl w:val="5958F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71B59"/>
    <w:multiLevelType w:val="hybridMultilevel"/>
    <w:tmpl w:val="9BB88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453689"/>
    <w:multiLevelType w:val="hybridMultilevel"/>
    <w:tmpl w:val="E8B63AD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C66A9C"/>
    <w:multiLevelType w:val="hybridMultilevel"/>
    <w:tmpl w:val="7A186F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01"/>
    <w:rsid w:val="000A04D3"/>
    <w:rsid w:val="00171065"/>
    <w:rsid w:val="001768CD"/>
    <w:rsid w:val="00347829"/>
    <w:rsid w:val="0040305A"/>
    <w:rsid w:val="00436201"/>
    <w:rsid w:val="00515749"/>
    <w:rsid w:val="00531705"/>
    <w:rsid w:val="00614A19"/>
    <w:rsid w:val="0068332F"/>
    <w:rsid w:val="006920D5"/>
    <w:rsid w:val="006B3F61"/>
    <w:rsid w:val="00884826"/>
    <w:rsid w:val="00971F7A"/>
    <w:rsid w:val="00A95E03"/>
    <w:rsid w:val="00B85B99"/>
    <w:rsid w:val="00BB1C53"/>
    <w:rsid w:val="00F2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20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2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Hoffman</dc:creator>
  <cp:lastModifiedBy>Matthew Hoffman</cp:lastModifiedBy>
  <cp:revision>11</cp:revision>
  <dcterms:created xsi:type="dcterms:W3CDTF">2015-02-26T23:02:00Z</dcterms:created>
  <dcterms:modified xsi:type="dcterms:W3CDTF">2015-03-12T22:56:00Z</dcterms:modified>
</cp:coreProperties>
</file>