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01" w:rsidRDefault="00436201" w:rsidP="00436201">
      <w:pPr>
        <w:jc w:val="center"/>
      </w:pPr>
    </w:p>
    <w:p w:rsidR="00436201" w:rsidRDefault="00436201" w:rsidP="00436201">
      <w:pPr>
        <w:jc w:val="center"/>
      </w:pPr>
    </w:p>
    <w:p w:rsidR="00436201" w:rsidRDefault="00436201" w:rsidP="00436201">
      <w:pPr>
        <w:jc w:val="center"/>
      </w:pPr>
    </w:p>
    <w:p w:rsidR="00436201" w:rsidRDefault="00436201" w:rsidP="00436201">
      <w:pPr>
        <w:jc w:val="center"/>
      </w:pPr>
    </w:p>
    <w:p w:rsidR="00436201" w:rsidRPr="001205A6" w:rsidRDefault="00436201" w:rsidP="00436201">
      <w:pPr>
        <w:jc w:val="center"/>
      </w:pPr>
      <w:r w:rsidRPr="001205A6">
        <w:t>Lodi Rules Committee</w:t>
      </w:r>
    </w:p>
    <w:p w:rsidR="00436201" w:rsidRPr="001205A6" w:rsidRDefault="00436201" w:rsidP="00436201">
      <w:pPr>
        <w:jc w:val="center"/>
      </w:pPr>
      <w:r>
        <w:t>February 9, 2015</w:t>
      </w:r>
    </w:p>
    <w:p w:rsidR="00436201" w:rsidRPr="001205A6" w:rsidRDefault="00436201" w:rsidP="00436201">
      <w:pPr>
        <w:jc w:val="center"/>
      </w:pPr>
    </w:p>
    <w:p w:rsidR="00436201" w:rsidRPr="001205A6" w:rsidRDefault="00436201" w:rsidP="00436201">
      <w:pPr>
        <w:jc w:val="center"/>
      </w:pPr>
    </w:p>
    <w:p w:rsidR="00436201" w:rsidRPr="001205A6" w:rsidRDefault="00436201" w:rsidP="00436201">
      <w:pPr>
        <w:jc w:val="center"/>
      </w:pPr>
      <w:smartTag w:uri="urn:schemas-microsoft-com:office:smarttags" w:element="City">
        <w:smartTag w:uri="urn:schemas-microsoft-com:office:smarttags" w:element="place">
          <w:r w:rsidRPr="001205A6">
            <w:t>Lodi</w:t>
          </w:r>
        </w:smartTag>
      </w:smartTag>
      <w:r w:rsidRPr="001205A6">
        <w:t xml:space="preserve"> </w:t>
      </w:r>
      <w:proofErr w:type="spellStart"/>
      <w:r w:rsidRPr="001205A6">
        <w:t>Winegrape</w:t>
      </w:r>
      <w:proofErr w:type="spellEnd"/>
      <w:r w:rsidRPr="001205A6">
        <w:t xml:space="preserve"> Commission, </w:t>
      </w:r>
      <w:smartTag w:uri="urn:schemas-microsoft-com:office:smarttags" w:element="address">
        <w:smartTag w:uri="urn:schemas-microsoft-com:office:smarttags" w:element="Street">
          <w:r w:rsidRPr="001205A6">
            <w:t>2545 West Turner Rd.</w:t>
          </w:r>
        </w:smartTag>
        <w:r w:rsidRPr="001205A6">
          <w:t xml:space="preserve">, </w:t>
        </w:r>
        <w:smartTag w:uri="urn:schemas-microsoft-com:office:smarttags" w:element="City">
          <w:r w:rsidRPr="001205A6">
            <w:t>Lodi</w:t>
          </w:r>
        </w:smartTag>
        <w:r w:rsidRPr="001205A6">
          <w:t xml:space="preserve">, </w:t>
        </w:r>
        <w:smartTag w:uri="urn:schemas-microsoft-com:office:smarttags" w:element="State">
          <w:r w:rsidRPr="001205A6">
            <w:t>CA</w:t>
          </w:r>
        </w:smartTag>
        <w:r w:rsidRPr="001205A6">
          <w:t xml:space="preserve">  </w:t>
        </w:r>
        <w:smartTag w:uri="urn:schemas-microsoft-com:office:smarttags" w:element="PostalCode">
          <w:r w:rsidRPr="001205A6">
            <w:t>95242</w:t>
          </w:r>
        </w:smartTag>
      </w:smartTag>
    </w:p>
    <w:p w:rsidR="00436201" w:rsidRPr="001205A6" w:rsidRDefault="00436201" w:rsidP="00436201"/>
    <w:p w:rsidR="00436201" w:rsidRPr="001205A6" w:rsidRDefault="00436201" w:rsidP="00436201">
      <w:pPr>
        <w:numPr>
          <w:ilvl w:val="0"/>
          <w:numId w:val="1"/>
        </w:numPr>
      </w:pPr>
      <w:r w:rsidRPr="001205A6">
        <w:t>Chairman Chris Storm call</w:t>
      </w:r>
      <w:r>
        <w:t>ed the meeting to order at 12:10</w:t>
      </w:r>
      <w:r w:rsidRPr="001205A6">
        <w:t xml:space="preserve"> PM.</w:t>
      </w:r>
    </w:p>
    <w:p w:rsidR="00436201" w:rsidRPr="001205A6" w:rsidRDefault="00436201" w:rsidP="00436201"/>
    <w:p w:rsidR="00436201" w:rsidRPr="001205A6" w:rsidRDefault="00436201" w:rsidP="00436201">
      <w:pPr>
        <w:numPr>
          <w:ilvl w:val="0"/>
          <w:numId w:val="1"/>
        </w:numPr>
      </w:pPr>
      <w:r w:rsidRPr="001205A6">
        <w:t>Roll Call :</w:t>
      </w:r>
    </w:p>
    <w:p w:rsidR="00436201" w:rsidRPr="001205A6" w:rsidRDefault="00436201" w:rsidP="00436201">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670"/>
        <w:gridCol w:w="1963"/>
      </w:tblGrid>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rPr>
                <w:b/>
                <w:bCs/>
              </w:rPr>
            </w:pPr>
            <w:r w:rsidRPr="001205A6">
              <w:rPr>
                <w:b/>
                <w:bCs/>
              </w:rPr>
              <w:t>Attended</w:t>
            </w:r>
          </w:p>
        </w:tc>
        <w:tc>
          <w:tcPr>
            <w:tcW w:w="1670" w:type="dxa"/>
            <w:shd w:val="clear" w:color="auto" w:fill="auto"/>
            <w:noWrap/>
            <w:hideMark/>
          </w:tcPr>
          <w:p w:rsidR="00436201" w:rsidRPr="001205A6" w:rsidRDefault="00436201" w:rsidP="00365235">
            <w:pPr>
              <w:ind w:left="720"/>
              <w:jc w:val="center"/>
              <w:rPr>
                <w:b/>
                <w:bCs/>
              </w:rPr>
            </w:pPr>
            <w:r w:rsidRPr="001205A6">
              <w:rPr>
                <w:b/>
                <w:bCs/>
              </w:rPr>
              <w:t>First</w:t>
            </w:r>
          </w:p>
        </w:tc>
        <w:tc>
          <w:tcPr>
            <w:tcW w:w="1963" w:type="dxa"/>
            <w:shd w:val="clear" w:color="auto" w:fill="auto"/>
            <w:noWrap/>
            <w:hideMark/>
          </w:tcPr>
          <w:p w:rsidR="00436201" w:rsidRPr="001205A6" w:rsidRDefault="00436201" w:rsidP="00365235">
            <w:pPr>
              <w:ind w:left="720"/>
              <w:jc w:val="center"/>
              <w:rPr>
                <w:b/>
                <w:bCs/>
              </w:rPr>
            </w:pPr>
            <w:r w:rsidRPr="001205A6">
              <w:rPr>
                <w:b/>
                <w:bCs/>
              </w:rPr>
              <w:t>Last</w:t>
            </w:r>
          </w:p>
        </w:tc>
      </w:tr>
      <w:tr w:rsidR="00436201" w:rsidRPr="001205A6" w:rsidTr="00365235">
        <w:trPr>
          <w:trHeight w:val="315"/>
          <w:jc w:val="center"/>
        </w:trPr>
        <w:tc>
          <w:tcPr>
            <w:tcW w:w="1883" w:type="dxa"/>
            <w:shd w:val="clear" w:color="auto" w:fill="auto"/>
            <w:noWrap/>
            <w:hideMark/>
          </w:tcPr>
          <w:p w:rsidR="00436201" w:rsidRPr="001205A6" w:rsidRDefault="00A95E03" w:rsidP="00365235">
            <w:pPr>
              <w:ind w:left="720"/>
              <w:jc w:val="center"/>
            </w:pPr>
            <w:r>
              <w:t>x</w:t>
            </w:r>
          </w:p>
        </w:tc>
        <w:tc>
          <w:tcPr>
            <w:tcW w:w="1670" w:type="dxa"/>
            <w:shd w:val="clear" w:color="auto" w:fill="auto"/>
            <w:noWrap/>
            <w:hideMark/>
          </w:tcPr>
          <w:p w:rsidR="00436201" w:rsidRPr="001205A6" w:rsidRDefault="00436201" w:rsidP="00365235">
            <w:pPr>
              <w:ind w:left="720"/>
              <w:jc w:val="center"/>
            </w:pPr>
            <w:r w:rsidRPr="001205A6">
              <w:t>Warren</w:t>
            </w:r>
          </w:p>
        </w:tc>
        <w:tc>
          <w:tcPr>
            <w:tcW w:w="1963" w:type="dxa"/>
            <w:shd w:val="clear" w:color="auto" w:fill="auto"/>
            <w:noWrap/>
            <w:hideMark/>
          </w:tcPr>
          <w:p w:rsidR="00436201" w:rsidRPr="001205A6" w:rsidRDefault="00436201" w:rsidP="00365235">
            <w:pPr>
              <w:ind w:left="720"/>
              <w:jc w:val="center"/>
            </w:pPr>
            <w:r w:rsidRPr="001205A6">
              <w:t>Bogle</w:t>
            </w:r>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r>
              <w:t>x</w:t>
            </w:r>
          </w:p>
        </w:tc>
        <w:tc>
          <w:tcPr>
            <w:tcW w:w="1670" w:type="dxa"/>
            <w:shd w:val="clear" w:color="auto" w:fill="auto"/>
            <w:noWrap/>
            <w:hideMark/>
          </w:tcPr>
          <w:p w:rsidR="00436201" w:rsidRPr="001205A6" w:rsidRDefault="00436201" w:rsidP="00365235">
            <w:pPr>
              <w:ind w:left="720"/>
              <w:jc w:val="center"/>
            </w:pPr>
            <w:r w:rsidRPr="001205A6">
              <w:t>Lee</w:t>
            </w:r>
          </w:p>
        </w:tc>
        <w:tc>
          <w:tcPr>
            <w:tcW w:w="1963" w:type="dxa"/>
            <w:shd w:val="clear" w:color="auto" w:fill="auto"/>
            <w:noWrap/>
            <w:hideMark/>
          </w:tcPr>
          <w:p w:rsidR="00436201" w:rsidRPr="001205A6" w:rsidRDefault="00436201" w:rsidP="00365235">
            <w:pPr>
              <w:ind w:left="720"/>
              <w:jc w:val="center"/>
            </w:pPr>
            <w:proofErr w:type="spellStart"/>
            <w:r w:rsidRPr="001205A6">
              <w:t>Caton</w:t>
            </w:r>
            <w:proofErr w:type="spellEnd"/>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r w:rsidRPr="001205A6">
              <w:t>x</w:t>
            </w:r>
          </w:p>
        </w:tc>
        <w:tc>
          <w:tcPr>
            <w:tcW w:w="1670" w:type="dxa"/>
            <w:shd w:val="clear" w:color="auto" w:fill="auto"/>
            <w:noWrap/>
            <w:hideMark/>
          </w:tcPr>
          <w:p w:rsidR="00436201" w:rsidRPr="001205A6" w:rsidRDefault="00436201" w:rsidP="00365235">
            <w:pPr>
              <w:ind w:left="720"/>
              <w:jc w:val="center"/>
            </w:pPr>
            <w:r w:rsidRPr="001205A6">
              <w:t>Bruce</w:t>
            </w:r>
          </w:p>
        </w:tc>
        <w:tc>
          <w:tcPr>
            <w:tcW w:w="1963" w:type="dxa"/>
            <w:shd w:val="clear" w:color="auto" w:fill="auto"/>
            <w:noWrap/>
            <w:hideMark/>
          </w:tcPr>
          <w:p w:rsidR="00436201" w:rsidRPr="001205A6" w:rsidRDefault="00436201" w:rsidP="00365235">
            <w:pPr>
              <w:ind w:left="720"/>
              <w:jc w:val="center"/>
            </w:pPr>
            <w:r w:rsidRPr="001205A6">
              <w:t>Fry</w:t>
            </w:r>
          </w:p>
        </w:tc>
      </w:tr>
      <w:tr w:rsidR="00436201" w:rsidRPr="001205A6" w:rsidTr="00365235">
        <w:trPr>
          <w:trHeight w:val="315"/>
          <w:jc w:val="center"/>
        </w:trPr>
        <w:tc>
          <w:tcPr>
            <w:tcW w:w="1883" w:type="dxa"/>
            <w:shd w:val="clear" w:color="auto" w:fill="auto"/>
            <w:noWrap/>
            <w:hideMark/>
          </w:tcPr>
          <w:p w:rsidR="00436201" w:rsidRPr="001205A6" w:rsidRDefault="00A95E03" w:rsidP="00365235">
            <w:pPr>
              <w:ind w:left="720"/>
              <w:jc w:val="center"/>
            </w:pPr>
            <w:r>
              <w:t>x</w:t>
            </w:r>
          </w:p>
        </w:tc>
        <w:tc>
          <w:tcPr>
            <w:tcW w:w="1670" w:type="dxa"/>
            <w:shd w:val="clear" w:color="auto" w:fill="auto"/>
            <w:noWrap/>
            <w:hideMark/>
          </w:tcPr>
          <w:p w:rsidR="00436201" w:rsidRPr="001205A6" w:rsidRDefault="00436201" w:rsidP="00365235">
            <w:pPr>
              <w:ind w:left="720"/>
              <w:jc w:val="center"/>
            </w:pPr>
            <w:r w:rsidRPr="001205A6">
              <w:t>Stan</w:t>
            </w:r>
          </w:p>
        </w:tc>
        <w:tc>
          <w:tcPr>
            <w:tcW w:w="1963" w:type="dxa"/>
            <w:shd w:val="clear" w:color="auto" w:fill="auto"/>
            <w:noWrap/>
            <w:hideMark/>
          </w:tcPr>
          <w:p w:rsidR="00436201" w:rsidRPr="001205A6" w:rsidRDefault="00436201" w:rsidP="00365235">
            <w:pPr>
              <w:ind w:left="720"/>
              <w:jc w:val="center"/>
            </w:pPr>
            <w:r w:rsidRPr="001205A6">
              <w:t>Grant</w:t>
            </w:r>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r w:rsidRPr="001205A6">
              <w:t>x</w:t>
            </w:r>
          </w:p>
        </w:tc>
        <w:tc>
          <w:tcPr>
            <w:tcW w:w="1670" w:type="dxa"/>
            <w:shd w:val="clear" w:color="auto" w:fill="auto"/>
            <w:noWrap/>
            <w:hideMark/>
          </w:tcPr>
          <w:p w:rsidR="00436201" w:rsidRPr="001205A6" w:rsidRDefault="00436201" w:rsidP="00365235">
            <w:pPr>
              <w:ind w:left="720"/>
              <w:jc w:val="center"/>
            </w:pPr>
            <w:r w:rsidRPr="001205A6">
              <w:t>Stanton</w:t>
            </w:r>
          </w:p>
        </w:tc>
        <w:tc>
          <w:tcPr>
            <w:tcW w:w="1963" w:type="dxa"/>
            <w:shd w:val="clear" w:color="auto" w:fill="auto"/>
            <w:noWrap/>
            <w:hideMark/>
          </w:tcPr>
          <w:p w:rsidR="00436201" w:rsidRPr="001205A6" w:rsidRDefault="00436201" w:rsidP="00365235">
            <w:pPr>
              <w:ind w:left="720"/>
              <w:jc w:val="center"/>
            </w:pPr>
            <w:r w:rsidRPr="001205A6">
              <w:t>Lange</w:t>
            </w:r>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p>
        </w:tc>
        <w:tc>
          <w:tcPr>
            <w:tcW w:w="1670" w:type="dxa"/>
            <w:shd w:val="clear" w:color="auto" w:fill="auto"/>
            <w:noWrap/>
            <w:hideMark/>
          </w:tcPr>
          <w:p w:rsidR="00436201" w:rsidRPr="001205A6" w:rsidRDefault="00436201" w:rsidP="00365235">
            <w:pPr>
              <w:ind w:left="720"/>
              <w:jc w:val="center"/>
            </w:pPr>
            <w:r w:rsidRPr="001205A6">
              <w:t>Kevin</w:t>
            </w:r>
          </w:p>
        </w:tc>
        <w:tc>
          <w:tcPr>
            <w:tcW w:w="1963" w:type="dxa"/>
            <w:shd w:val="clear" w:color="auto" w:fill="auto"/>
            <w:noWrap/>
            <w:hideMark/>
          </w:tcPr>
          <w:p w:rsidR="00436201" w:rsidRPr="001205A6" w:rsidRDefault="00436201" w:rsidP="00365235">
            <w:pPr>
              <w:ind w:left="720"/>
              <w:jc w:val="center"/>
            </w:pPr>
            <w:r w:rsidRPr="001205A6">
              <w:t>Phillips</w:t>
            </w:r>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p>
        </w:tc>
        <w:tc>
          <w:tcPr>
            <w:tcW w:w="1670" w:type="dxa"/>
            <w:shd w:val="clear" w:color="auto" w:fill="auto"/>
            <w:noWrap/>
            <w:hideMark/>
          </w:tcPr>
          <w:p w:rsidR="00436201" w:rsidRPr="001205A6" w:rsidRDefault="00436201" w:rsidP="00365235">
            <w:pPr>
              <w:ind w:left="720"/>
              <w:jc w:val="center"/>
            </w:pPr>
            <w:r w:rsidRPr="001205A6">
              <w:t>Steve</w:t>
            </w:r>
          </w:p>
        </w:tc>
        <w:tc>
          <w:tcPr>
            <w:tcW w:w="1963" w:type="dxa"/>
            <w:shd w:val="clear" w:color="auto" w:fill="auto"/>
            <w:noWrap/>
            <w:hideMark/>
          </w:tcPr>
          <w:p w:rsidR="00436201" w:rsidRPr="001205A6" w:rsidRDefault="00436201" w:rsidP="00365235">
            <w:pPr>
              <w:ind w:left="720"/>
              <w:jc w:val="center"/>
            </w:pPr>
            <w:r w:rsidRPr="001205A6">
              <w:t>Quashnick</w:t>
            </w:r>
          </w:p>
        </w:tc>
      </w:tr>
      <w:tr w:rsidR="00436201" w:rsidRPr="001205A6" w:rsidTr="00365235">
        <w:trPr>
          <w:trHeight w:val="315"/>
          <w:jc w:val="center"/>
        </w:trPr>
        <w:tc>
          <w:tcPr>
            <w:tcW w:w="1883" w:type="dxa"/>
            <w:shd w:val="clear" w:color="auto" w:fill="auto"/>
            <w:noWrap/>
            <w:hideMark/>
          </w:tcPr>
          <w:p w:rsidR="00436201" w:rsidRPr="001205A6" w:rsidRDefault="00436201" w:rsidP="00365235">
            <w:pPr>
              <w:ind w:left="720"/>
              <w:jc w:val="center"/>
            </w:pPr>
            <w:r w:rsidRPr="001205A6">
              <w:t>x</w:t>
            </w:r>
          </w:p>
        </w:tc>
        <w:tc>
          <w:tcPr>
            <w:tcW w:w="1670" w:type="dxa"/>
            <w:shd w:val="clear" w:color="auto" w:fill="auto"/>
            <w:noWrap/>
            <w:hideMark/>
          </w:tcPr>
          <w:p w:rsidR="00436201" w:rsidRPr="001205A6" w:rsidRDefault="00436201" w:rsidP="00365235">
            <w:pPr>
              <w:ind w:left="720"/>
              <w:jc w:val="center"/>
            </w:pPr>
            <w:r w:rsidRPr="001205A6">
              <w:t>Chris</w:t>
            </w:r>
          </w:p>
        </w:tc>
        <w:tc>
          <w:tcPr>
            <w:tcW w:w="1963" w:type="dxa"/>
            <w:shd w:val="clear" w:color="auto" w:fill="auto"/>
            <w:noWrap/>
            <w:hideMark/>
          </w:tcPr>
          <w:p w:rsidR="00436201" w:rsidRPr="001205A6" w:rsidRDefault="00436201" w:rsidP="00365235">
            <w:pPr>
              <w:ind w:left="720"/>
              <w:jc w:val="center"/>
            </w:pPr>
            <w:r w:rsidRPr="001205A6">
              <w:t>Storm</w:t>
            </w:r>
          </w:p>
        </w:tc>
      </w:tr>
      <w:tr w:rsidR="00436201" w:rsidRPr="001205A6" w:rsidTr="00365235">
        <w:trPr>
          <w:trHeight w:val="315"/>
          <w:jc w:val="center"/>
        </w:trPr>
        <w:tc>
          <w:tcPr>
            <w:tcW w:w="1883" w:type="dxa"/>
            <w:shd w:val="clear" w:color="auto" w:fill="auto"/>
            <w:noWrap/>
          </w:tcPr>
          <w:p w:rsidR="00436201" w:rsidRPr="001205A6" w:rsidRDefault="00436201" w:rsidP="00365235">
            <w:pPr>
              <w:ind w:left="720"/>
              <w:jc w:val="center"/>
            </w:pPr>
          </w:p>
        </w:tc>
        <w:tc>
          <w:tcPr>
            <w:tcW w:w="1670" w:type="dxa"/>
            <w:shd w:val="clear" w:color="auto" w:fill="auto"/>
            <w:noWrap/>
          </w:tcPr>
          <w:p w:rsidR="00436201" w:rsidRPr="001205A6" w:rsidRDefault="00436201" w:rsidP="00365235">
            <w:pPr>
              <w:ind w:left="720"/>
              <w:jc w:val="center"/>
            </w:pPr>
          </w:p>
        </w:tc>
        <w:tc>
          <w:tcPr>
            <w:tcW w:w="1963" w:type="dxa"/>
            <w:shd w:val="clear" w:color="auto" w:fill="auto"/>
            <w:noWrap/>
          </w:tcPr>
          <w:p w:rsidR="00436201" w:rsidRPr="001205A6" w:rsidRDefault="00436201" w:rsidP="00365235">
            <w:pPr>
              <w:ind w:left="720"/>
              <w:jc w:val="center"/>
            </w:pPr>
          </w:p>
        </w:tc>
      </w:tr>
    </w:tbl>
    <w:p w:rsidR="00436201" w:rsidRPr="001205A6" w:rsidRDefault="00436201" w:rsidP="00436201">
      <w:pPr>
        <w:ind w:left="720"/>
      </w:pPr>
    </w:p>
    <w:p w:rsidR="00436201" w:rsidRPr="001205A6" w:rsidRDefault="00436201" w:rsidP="00436201">
      <w:pPr>
        <w:ind w:left="720"/>
      </w:pPr>
      <w:r w:rsidRPr="001205A6">
        <w:t>Others present – Matthew Hoffman, Stuart Spencer</w:t>
      </w:r>
      <w:r>
        <w:t xml:space="preserve">, </w:t>
      </w:r>
      <w:r w:rsidR="00A95E03">
        <w:t>and Madelyn</w:t>
      </w:r>
      <w:r>
        <w:t xml:space="preserve"> </w:t>
      </w:r>
      <w:proofErr w:type="spellStart"/>
      <w:r>
        <w:t>Kolber</w:t>
      </w:r>
      <w:proofErr w:type="spellEnd"/>
    </w:p>
    <w:p w:rsidR="00436201" w:rsidRPr="001205A6" w:rsidRDefault="00436201" w:rsidP="00436201"/>
    <w:p w:rsidR="00436201" w:rsidRPr="001205A6" w:rsidRDefault="00436201" w:rsidP="00436201">
      <w:pPr>
        <w:numPr>
          <w:ilvl w:val="0"/>
          <w:numId w:val="1"/>
        </w:numPr>
      </w:pPr>
      <w:r w:rsidRPr="001205A6">
        <w:t xml:space="preserve">Minutes of the </w:t>
      </w:r>
      <w:r w:rsidR="00A95E03">
        <w:t>January 6</w:t>
      </w:r>
      <w:r w:rsidRPr="001205A6">
        <w:t>, 2014 meeting were approved</w:t>
      </w:r>
      <w:r w:rsidR="00A95E03">
        <w:t xml:space="preserve"> with amendments recommended by Stan Grant to change language of chain of custody agreement to license agreement</w:t>
      </w:r>
      <w:r w:rsidRPr="001205A6">
        <w:t>. Stan</w:t>
      </w:r>
      <w:r w:rsidR="00A95E03">
        <w:t>ton Lange</w:t>
      </w:r>
      <w:r w:rsidRPr="001205A6">
        <w:t xml:space="preserve">, </w:t>
      </w:r>
      <w:r w:rsidR="00A95E03">
        <w:t>Stan Grant</w:t>
      </w:r>
      <w:r w:rsidRPr="001205A6">
        <w:t xml:space="preserve"> – Carried.</w:t>
      </w:r>
    </w:p>
    <w:p w:rsidR="00436201" w:rsidRPr="001205A6" w:rsidRDefault="00436201" w:rsidP="00436201"/>
    <w:p w:rsidR="00436201" w:rsidRDefault="00436201" w:rsidP="00436201">
      <w:pPr>
        <w:numPr>
          <w:ilvl w:val="0"/>
          <w:numId w:val="1"/>
        </w:numPr>
      </w:pPr>
      <w:r w:rsidRPr="00F56138">
        <w:t>Sustainabili</w:t>
      </w:r>
      <w:r w:rsidR="00A95E03">
        <w:t xml:space="preserve">ty Report: Matthew Hoffman provided a draft of the water management chapter from our graphic designer. The committee suggested all chats be changed to show the proportion of growers who adopted practices out of the total number of growers to who the practice applied (as opposed to the proportion of growers who adopted the practices out of the total number of growers who participated in the program). The reason being is that this is a more accurate representation of adoption success. Matthew will work with Mike Levy of UC Davis to redo the analysis, rewrite section of the report to accommodate the new charts, and work with graphic designer to integrate these changes. The committee was firm with their request that a final report be complete by the next meeting date.  </w:t>
      </w:r>
    </w:p>
    <w:p w:rsidR="00171065" w:rsidRDefault="00171065" w:rsidP="00171065">
      <w:pPr>
        <w:ind w:left="720"/>
      </w:pPr>
    </w:p>
    <w:p w:rsidR="00171065" w:rsidRPr="006920D5" w:rsidRDefault="00171065" w:rsidP="00436201">
      <w:pPr>
        <w:numPr>
          <w:ilvl w:val="0"/>
          <w:numId w:val="1"/>
        </w:numPr>
      </w:pPr>
      <w:r>
        <w:t xml:space="preserve">GEELA report: Matthew gave a short report on the successful GEELA ceremony and the several articles about the Lodi Rules that were spurred by the award and </w:t>
      </w:r>
      <w:r>
        <w:lastRenderedPageBreak/>
        <w:t xml:space="preserve">the LWC’s subsequent press release. Matthew wrote an article about the program for </w:t>
      </w:r>
      <w:r w:rsidRPr="00171065">
        <w:rPr>
          <w:i/>
        </w:rPr>
        <w:t>Water and Waste Digest</w:t>
      </w:r>
      <w:r>
        <w:rPr>
          <w:i/>
        </w:rPr>
        <w:t xml:space="preserve">. </w:t>
      </w:r>
      <w:r>
        <w:t xml:space="preserve">Cliff Ohmart also write an article for </w:t>
      </w:r>
      <w:r>
        <w:rPr>
          <w:i/>
        </w:rPr>
        <w:t xml:space="preserve">Wines and Vines. </w:t>
      </w:r>
    </w:p>
    <w:p w:rsidR="006920D5" w:rsidRPr="006920D5" w:rsidRDefault="006920D5" w:rsidP="006920D5">
      <w:pPr>
        <w:ind w:left="720"/>
      </w:pPr>
    </w:p>
    <w:p w:rsidR="006920D5" w:rsidRPr="00F56138" w:rsidRDefault="006920D5" w:rsidP="00436201">
      <w:pPr>
        <w:numPr>
          <w:ilvl w:val="0"/>
          <w:numId w:val="1"/>
        </w:numPr>
      </w:pPr>
      <w:r>
        <w:t>Standard amendments: The committee reviewed standard 2.5 and agreed t</w:t>
      </w:r>
      <w:r w:rsidR="001768CD">
        <w:t xml:space="preserve">hat the language be modified so that it is clear that even if a grower hires a private applicator to apply pesticides, he/she is still required to fulfill the practice. Matthew will made the changes to the Lodi Rules standards and look at other standards that way also need to be amended in the same way. </w:t>
      </w:r>
    </w:p>
    <w:p w:rsidR="00436201" w:rsidRPr="00F56138" w:rsidRDefault="00436201" w:rsidP="00436201">
      <w:pPr>
        <w:ind w:left="720"/>
      </w:pPr>
    </w:p>
    <w:p w:rsidR="00436201" w:rsidRDefault="00171065" w:rsidP="00436201">
      <w:pPr>
        <w:numPr>
          <w:ilvl w:val="0"/>
          <w:numId w:val="1"/>
        </w:numPr>
      </w:pPr>
      <w:r>
        <w:t xml:space="preserve">New grower orientation meetings:  Matthew is working on finding dates for two new grower orientation meetings: one in Lodi and one in Sonoma. He will notify the committee when the dates are set. So far, seven new growers have asked for </w:t>
      </w:r>
      <w:r w:rsidR="00515749">
        <w:t>applications</w:t>
      </w:r>
      <w:r>
        <w:t xml:space="preserve">. </w:t>
      </w:r>
    </w:p>
    <w:p w:rsidR="00171065" w:rsidRPr="00F56138" w:rsidRDefault="00171065" w:rsidP="00171065">
      <w:pPr>
        <w:ind w:left="720"/>
      </w:pPr>
    </w:p>
    <w:p w:rsidR="00436201" w:rsidRDefault="00436201" w:rsidP="00436201">
      <w:pPr>
        <w:numPr>
          <w:ilvl w:val="0"/>
          <w:numId w:val="1"/>
        </w:numPr>
      </w:pPr>
      <w:r w:rsidRPr="00F56138">
        <w:t xml:space="preserve">Committee membership: </w:t>
      </w:r>
      <w:r w:rsidR="00515749">
        <w:t xml:space="preserve">The committee was in agreement that Aaron Shinn and Madelyn </w:t>
      </w:r>
      <w:proofErr w:type="spellStart"/>
      <w:r w:rsidR="00515749">
        <w:t>Kolber</w:t>
      </w:r>
      <w:proofErr w:type="spellEnd"/>
      <w:r w:rsidR="00515749">
        <w:t xml:space="preserve"> be added to the committee. Chris Storm will recommend their appointment to the committee to the Commission board at the next meeting.</w:t>
      </w:r>
    </w:p>
    <w:p w:rsidR="00515749" w:rsidRDefault="00515749" w:rsidP="00515749">
      <w:pPr>
        <w:ind w:left="720"/>
      </w:pPr>
    </w:p>
    <w:p w:rsidR="00515749" w:rsidRPr="00F56138" w:rsidRDefault="00515749" w:rsidP="00515749">
      <w:pPr>
        <w:numPr>
          <w:ilvl w:val="0"/>
          <w:numId w:val="1"/>
        </w:numPr>
      </w:pPr>
      <w:r>
        <w:t xml:space="preserve">Promoting the program: Bruce Fry voiced the importance of the Commission taking steps to promote the program to wineries and advocate that bonuses be paid for certified grapes. The committee agreed that this ought to be a priority. Madelyn </w:t>
      </w:r>
      <w:proofErr w:type="spellStart"/>
      <w:r>
        <w:t>Kolber</w:t>
      </w:r>
      <w:proofErr w:type="spellEnd"/>
      <w:r>
        <w:t xml:space="preserve"> was contacted by a Gallo representative to give a presentation about the Lodi Rules. She agreed to include Matthew in communication about this meeting.</w:t>
      </w:r>
      <w:r w:rsidR="006920D5">
        <w:t xml:space="preserve"> Matthew will communicate this to Camron.</w:t>
      </w:r>
      <w:r>
        <w:t xml:space="preserve"> </w:t>
      </w:r>
    </w:p>
    <w:p w:rsidR="00436201" w:rsidRDefault="00436201" w:rsidP="00436201">
      <w:pPr>
        <w:ind w:left="720"/>
      </w:pPr>
    </w:p>
    <w:p w:rsidR="00436201" w:rsidRDefault="00436201" w:rsidP="00436201">
      <w:pPr>
        <w:numPr>
          <w:ilvl w:val="0"/>
          <w:numId w:val="1"/>
        </w:numPr>
      </w:pPr>
      <w:r w:rsidRPr="001205A6">
        <w:t xml:space="preserve">Winery </w:t>
      </w:r>
      <w:r w:rsidR="006920D5">
        <w:t xml:space="preserve">license agreement: Matthew reported to the committee that Commission staff members are still in communication with legal on the license agreement, and he plans to have a document for the committee to review by the next meeting. Matthew will also have for committee review the bottling report. Chris Storm reminded Commission staff that the committee wants this agreement in place for the 2015 vintage.  </w:t>
      </w:r>
    </w:p>
    <w:p w:rsidR="00436201" w:rsidRDefault="00436201" w:rsidP="00436201"/>
    <w:p w:rsidR="00436201" w:rsidRPr="001205A6" w:rsidRDefault="00436201" w:rsidP="00436201">
      <w:pPr>
        <w:numPr>
          <w:ilvl w:val="0"/>
          <w:numId w:val="1"/>
        </w:numPr>
      </w:pPr>
      <w:r w:rsidRPr="001205A6">
        <w:t xml:space="preserve">Next meeting set for </w:t>
      </w:r>
      <w:r w:rsidR="00B85B99">
        <w:t>March</w:t>
      </w:r>
      <w:bookmarkStart w:id="0" w:name="_GoBack"/>
      <w:bookmarkEnd w:id="0"/>
      <w:r>
        <w:t xml:space="preserve"> 9, 2015</w:t>
      </w:r>
      <w:r w:rsidRPr="001205A6">
        <w:t xml:space="preserve">, 12:00 PM at the Lodi </w:t>
      </w:r>
      <w:proofErr w:type="spellStart"/>
      <w:r w:rsidRPr="001205A6">
        <w:t>Winegrape</w:t>
      </w:r>
      <w:proofErr w:type="spellEnd"/>
      <w:r w:rsidRPr="001205A6">
        <w:t xml:space="preserve"> Commission office.</w:t>
      </w:r>
    </w:p>
    <w:p w:rsidR="00436201" w:rsidRPr="001205A6" w:rsidRDefault="00436201" w:rsidP="00436201"/>
    <w:p w:rsidR="00436201" w:rsidRPr="001205A6" w:rsidRDefault="00436201" w:rsidP="00436201">
      <w:pPr>
        <w:numPr>
          <w:ilvl w:val="0"/>
          <w:numId w:val="1"/>
        </w:numPr>
      </w:pPr>
      <w:r w:rsidRPr="001205A6">
        <w:t>Meeting adjourned 2:00 PM.</w:t>
      </w:r>
    </w:p>
    <w:p w:rsidR="0040305A" w:rsidRDefault="0040305A"/>
    <w:sectPr w:rsidR="0040305A" w:rsidSect="00F20323">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658"/>
    <w:multiLevelType w:val="hybridMultilevel"/>
    <w:tmpl w:val="7658A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D453689"/>
    <w:multiLevelType w:val="hybridMultilevel"/>
    <w:tmpl w:val="6308BB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C66A9C"/>
    <w:multiLevelType w:val="hybridMultilevel"/>
    <w:tmpl w:val="7A186F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01"/>
    <w:rsid w:val="00171065"/>
    <w:rsid w:val="001768CD"/>
    <w:rsid w:val="0040305A"/>
    <w:rsid w:val="00436201"/>
    <w:rsid w:val="00515749"/>
    <w:rsid w:val="006920D5"/>
    <w:rsid w:val="00A95E03"/>
    <w:rsid w:val="00B8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2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Hoffman</dc:creator>
  <cp:lastModifiedBy>Molly Bjork</cp:lastModifiedBy>
  <cp:revision>4</cp:revision>
  <dcterms:created xsi:type="dcterms:W3CDTF">2015-02-26T23:02:00Z</dcterms:created>
  <dcterms:modified xsi:type="dcterms:W3CDTF">2015-02-27T16:39:00Z</dcterms:modified>
</cp:coreProperties>
</file>